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84EE" w14:textId="48318632" w:rsidR="00B8569D" w:rsidRDefault="002446CF">
      <w:r>
        <w:t xml:space="preserve">Mackenzie Eisen gave an update on learning renewal, including an overview of the four pillars of learning recovery: high impact tutoring, social emotional learning, interim assessment, and transition support. </w:t>
      </w:r>
    </w:p>
    <w:p w14:paraId="6296590A" w14:textId="219D0857" w:rsidR="002446CF" w:rsidRDefault="002446CF">
      <w:r>
        <w:t xml:space="preserve">The Chair gave an overview of the provision in HB2170 requiring the P-20 council to provide “recommendations for short-term and long-term recovery actions” to the General Assembly in the wake of the pandemic by December 31. Mackenzie presented the proposed action plan for this report including he creation of working groups, a proposed timeline, and a crosswalk with the Learning Renewal Resource Guide. </w:t>
      </w:r>
    </w:p>
    <w:p w14:paraId="2055A84E" w14:textId="1BE958EF" w:rsidR="002446CF" w:rsidRDefault="002446CF">
      <w:r>
        <w:t xml:space="preserve">GOECD, ISBE, ICCB, IMSA, IBHE, and ISAC gave committee reports. </w:t>
      </w:r>
    </w:p>
    <w:p w14:paraId="6205830B" w14:textId="31C66407" w:rsidR="002446CF" w:rsidRDefault="002446CF">
      <w:r>
        <w:t>No public comment was provided</w:t>
      </w:r>
    </w:p>
    <w:sectPr w:rsidR="00244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CF"/>
    <w:rsid w:val="002446CF"/>
    <w:rsid w:val="00B8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8D2A"/>
  <w15:chartTrackingRefBased/>
  <w15:docId w15:val="{FD4569A6-8EE3-46F3-A746-506E3229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 Mackenzie</dc:creator>
  <cp:keywords/>
  <dc:description/>
  <cp:lastModifiedBy>Eisen, Mackenzie</cp:lastModifiedBy>
  <cp:revision>1</cp:revision>
  <dcterms:created xsi:type="dcterms:W3CDTF">2023-03-14T19:44:00Z</dcterms:created>
  <dcterms:modified xsi:type="dcterms:W3CDTF">2023-03-14T19:51:00Z</dcterms:modified>
</cp:coreProperties>
</file>